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center"/>
        <w:rPr>
          <w:b w:val="1"/>
        </w:rPr>
      </w:pPr>
      <w:r w:rsidDel="00000000" w:rsidR="00000000" w:rsidRPr="00000000">
        <w:rPr>
          <w:b w:val="1"/>
          <w:rtl w:val="0"/>
        </w:rPr>
        <w:t xml:space="preserve">Equitable Grading Practices </w:t>
      </w:r>
    </w:p>
    <w:tbl>
      <w:tblPr>
        <w:tblStyle w:val="Table1"/>
        <w:tblW w:w="14100.0" w:type="dxa"/>
        <w:jc w:val="left"/>
        <w:tblInd w:w="-750.0" w:type="dxa"/>
        <w:tblBorders>
          <w:top w:color="9e9e9e" w:space="0" w:sz="8" w:val="single"/>
          <w:left w:color="9e9e9e" w:space="0" w:sz="8" w:val="single"/>
          <w:bottom w:color="9e9e9e" w:space="0" w:sz="8" w:val="single"/>
          <w:right w:color="9e9e9e" w:space="0" w:sz="8" w:val="single"/>
          <w:insideH w:color="9e9e9e" w:space="0" w:sz="8" w:val="single"/>
          <w:insideV w:color="9e9e9e" w:space="0" w:sz="8" w:val="single"/>
        </w:tblBorders>
        <w:tblLayout w:type="fixed"/>
        <w:tblLook w:val="0600"/>
      </w:tblPr>
      <w:tblGrid>
        <w:gridCol w:w="2565"/>
        <w:gridCol w:w="3090"/>
        <w:gridCol w:w="3225"/>
        <w:gridCol w:w="2775"/>
        <w:gridCol w:w="2445"/>
        <w:tblGridChange w:id="0">
          <w:tblGrid>
            <w:gridCol w:w="2565"/>
            <w:gridCol w:w="3090"/>
            <w:gridCol w:w="3225"/>
            <w:gridCol w:w="2775"/>
            <w:gridCol w:w="2445"/>
          </w:tblGrid>
        </w:tblGridChange>
      </w:tblGrid>
      <w:tr>
        <w:trPr>
          <w:cantSplit w:val="0"/>
          <w:trHeight w:val="620" w:hRule="atLeast"/>
          <w:tblHeader w:val="0"/>
        </w:trPr>
        <w:tc>
          <w:tcPr>
            <w:shd w:fill="ffffff" w:val="clear"/>
            <w:tcMar>
              <w:top w:w="140.0" w:type="dxa"/>
              <w:left w:w="140.0" w:type="dxa"/>
              <w:bottom w:w="140.0" w:type="dxa"/>
              <w:right w:w="140.0" w:type="dxa"/>
            </w:tcMar>
            <w:vAlign w:val="top"/>
          </w:tcPr>
          <w:p w:rsidR="00000000" w:rsidDel="00000000" w:rsidP="00000000" w:rsidRDefault="00000000" w:rsidRPr="00000000" w14:paraId="00000002">
            <w:pPr>
              <w:widowControl w:val="0"/>
              <w:spacing w:line="240" w:lineRule="auto"/>
              <w:rPr>
                <w:b w:val="1"/>
                <w:sz w:val="26"/>
                <w:szCs w:val="26"/>
              </w:rPr>
            </w:pPr>
            <w:r w:rsidDel="00000000" w:rsidR="00000000" w:rsidRPr="00000000">
              <w:rPr>
                <w:b w:val="1"/>
                <w:sz w:val="26"/>
                <w:szCs w:val="26"/>
                <w:rtl w:val="0"/>
              </w:rPr>
              <w:t xml:space="preserve">Assignment</w:t>
            </w:r>
          </w:p>
        </w:tc>
        <w:tc>
          <w:tcPr>
            <w:shd w:fill="ffffff" w:val="clear"/>
            <w:tcMar>
              <w:top w:w="140.0" w:type="dxa"/>
              <w:left w:w="140.0" w:type="dxa"/>
              <w:bottom w:w="140.0" w:type="dxa"/>
              <w:right w:w="140.0" w:type="dxa"/>
            </w:tcMar>
            <w:vAlign w:val="top"/>
          </w:tcPr>
          <w:p w:rsidR="00000000" w:rsidDel="00000000" w:rsidP="00000000" w:rsidRDefault="00000000" w:rsidRPr="00000000" w14:paraId="00000003">
            <w:pPr>
              <w:widowControl w:val="0"/>
              <w:spacing w:line="240" w:lineRule="auto"/>
              <w:rPr>
                <w:b w:val="1"/>
                <w:sz w:val="26"/>
                <w:szCs w:val="26"/>
              </w:rPr>
            </w:pPr>
            <w:r w:rsidDel="00000000" w:rsidR="00000000" w:rsidRPr="00000000">
              <w:rPr>
                <w:b w:val="1"/>
                <w:sz w:val="26"/>
                <w:szCs w:val="26"/>
                <w:rtl w:val="0"/>
              </w:rPr>
              <w:t xml:space="preserve">Purpose/Type of Assessment </w:t>
            </w:r>
          </w:p>
        </w:tc>
        <w:tc>
          <w:tcPr>
            <w:shd w:fill="ffffff" w:val="clear"/>
            <w:tcMar>
              <w:top w:w="140.0" w:type="dxa"/>
              <w:left w:w="140.0" w:type="dxa"/>
              <w:bottom w:w="140.0" w:type="dxa"/>
              <w:right w:w="140.0" w:type="dxa"/>
            </w:tcMar>
            <w:vAlign w:val="top"/>
          </w:tcPr>
          <w:p w:rsidR="00000000" w:rsidDel="00000000" w:rsidP="00000000" w:rsidRDefault="00000000" w:rsidRPr="00000000" w14:paraId="00000004">
            <w:pPr>
              <w:widowControl w:val="0"/>
              <w:spacing w:line="240" w:lineRule="auto"/>
              <w:rPr>
                <w:b w:val="1"/>
                <w:sz w:val="26"/>
                <w:szCs w:val="26"/>
              </w:rPr>
            </w:pPr>
            <w:r w:rsidDel="00000000" w:rsidR="00000000" w:rsidRPr="00000000">
              <w:rPr>
                <w:b w:val="1"/>
                <w:sz w:val="20"/>
                <w:szCs w:val="20"/>
                <w:rtl w:val="0"/>
              </w:rPr>
              <w:t xml:space="preserve">What are the areas of concern for evaluation?</w:t>
            </w:r>
            <w:r w:rsidDel="00000000" w:rsidR="00000000" w:rsidRPr="00000000">
              <w:rPr>
                <w:rtl w:val="0"/>
              </w:rPr>
            </w:r>
          </w:p>
        </w:tc>
        <w:tc>
          <w:tcPr>
            <w:shd w:fill="ffffff" w:val="clear"/>
            <w:tcMar>
              <w:top w:w="140.0" w:type="dxa"/>
              <w:left w:w="140.0" w:type="dxa"/>
              <w:bottom w:w="140.0" w:type="dxa"/>
              <w:right w:w="140.0" w:type="dxa"/>
            </w:tcMar>
            <w:vAlign w:val="top"/>
          </w:tcPr>
          <w:p w:rsidR="00000000" w:rsidDel="00000000" w:rsidP="00000000" w:rsidRDefault="00000000" w:rsidRPr="00000000" w14:paraId="00000005">
            <w:pPr>
              <w:widowControl w:val="0"/>
              <w:spacing w:line="240" w:lineRule="auto"/>
              <w:rPr>
                <w:b w:val="1"/>
              </w:rPr>
            </w:pPr>
            <w:r w:rsidDel="00000000" w:rsidR="00000000" w:rsidRPr="00000000">
              <w:rPr>
                <w:b w:val="1"/>
                <w:rtl w:val="0"/>
              </w:rPr>
              <w:t xml:space="preserve">What does feedback look like?</w:t>
            </w:r>
          </w:p>
          <w:p w:rsidR="00000000" w:rsidDel="00000000" w:rsidP="00000000" w:rsidRDefault="00000000" w:rsidRPr="00000000" w14:paraId="00000006">
            <w:pPr>
              <w:widowControl w:val="0"/>
              <w:spacing w:line="240" w:lineRule="auto"/>
              <w:rPr>
                <w:b w:val="1"/>
                <w:sz w:val="20"/>
                <w:szCs w:val="20"/>
              </w:rPr>
            </w:pPr>
            <w:r w:rsidDel="00000000" w:rsidR="00000000" w:rsidRPr="00000000">
              <w:rPr>
                <w:rtl w:val="0"/>
              </w:rPr>
            </w:r>
          </w:p>
        </w:tc>
        <w:tc>
          <w:tcPr>
            <w:shd w:fill="ffffff" w:val="clear"/>
            <w:tcMar>
              <w:top w:w="140.0" w:type="dxa"/>
              <w:left w:w="140.0" w:type="dxa"/>
              <w:bottom w:w="140.0" w:type="dxa"/>
              <w:right w:w="140.0" w:type="dxa"/>
            </w:tcMar>
            <w:vAlign w:val="top"/>
          </w:tcPr>
          <w:p w:rsidR="00000000" w:rsidDel="00000000" w:rsidP="00000000" w:rsidRDefault="00000000" w:rsidRPr="00000000" w14:paraId="00000007">
            <w:pPr>
              <w:widowControl w:val="0"/>
              <w:spacing w:line="240" w:lineRule="auto"/>
              <w:rPr>
                <w:b w:val="1"/>
                <w:sz w:val="14"/>
                <w:szCs w:val="14"/>
              </w:rPr>
            </w:pPr>
            <w:r w:rsidDel="00000000" w:rsidR="00000000" w:rsidRPr="00000000">
              <w:rPr>
                <w:b w:val="1"/>
                <w:rtl w:val="0"/>
              </w:rPr>
              <w:t xml:space="preserve">Equity Concerns/Solutions</w:t>
            </w:r>
            <w:r w:rsidDel="00000000" w:rsidR="00000000" w:rsidRPr="00000000">
              <w:rPr>
                <w:rtl w:val="0"/>
              </w:rPr>
            </w:r>
          </w:p>
        </w:tc>
      </w:tr>
      <w:tr>
        <w:trPr>
          <w:cantSplit w:val="0"/>
          <w:trHeight w:val="1060" w:hRule="atLeast"/>
          <w:tblHeader w:val="0"/>
        </w:trPr>
        <w:tc>
          <w:tcPr>
            <w:shd w:fill="ffffff" w:val="clear"/>
            <w:tcMar>
              <w:top w:w="140.0" w:type="dxa"/>
              <w:left w:w="140.0" w:type="dxa"/>
              <w:bottom w:w="140.0" w:type="dxa"/>
              <w:right w:w="140.0" w:type="dxa"/>
            </w:tcMar>
            <w:vAlign w:val="top"/>
          </w:tcPr>
          <w:p w:rsidR="00000000" w:rsidDel="00000000" w:rsidP="00000000" w:rsidRDefault="00000000" w:rsidRPr="00000000" w14:paraId="00000008">
            <w:pPr>
              <w:widowControl w:val="0"/>
              <w:spacing w:line="240" w:lineRule="auto"/>
              <w:rPr>
                <w:sz w:val="28"/>
                <w:szCs w:val="28"/>
              </w:rPr>
            </w:pPr>
            <w:r w:rsidDel="00000000" w:rsidR="00000000" w:rsidRPr="00000000">
              <w:rPr>
                <w:rtl w:val="0"/>
              </w:rPr>
            </w:r>
          </w:p>
          <w:p w:rsidR="00000000" w:rsidDel="00000000" w:rsidP="00000000" w:rsidRDefault="00000000" w:rsidRPr="00000000" w14:paraId="00000009">
            <w:pPr>
              <w:widowControl w:val="0"/>
              <w:spacing w:line="240" w:lineRule="auto"/>
              <w:rPr>
                <w:sz w:val="28"/>
                <w:szCs w:val="28"/>
              </w:rPr>
            </w:pPr>
            <w:r w:rsidDel="00000000" w:rsidR="00000000" w:rsidRPr="00000000">
              <w:rPr>
                <w:rtl w:val="0"/>
              </w:rPr>
            </w:r>
          </w:p>
          <w:p w:rsidR="00000000" w:rsidDel="00000000" w:rsidP="00000000" w:rsidRDefault="00000000" w:rsidRPr="00000000" w14:paraId="0000000A">
            <w:pPr>
              <w:widowControl w:val="0"/>
              <w:spacing w:line="240" w:lineRule="auto"/>
              <w:rPr>
                <w:sz w:val="28"/>
                <w:szCs w:val="28"/>
              </w:rPr>
            </w:pPr>
            <w:r w:rsidDel="00000000" w:rsidR="00000000" w:rsidRPr="00000000">
              <w:rPr>
                <w:rtl w:val="0"/>
              </w:rPr>
            </w:r>
          </w:p>
          <w:p w:rsidR="00000000" w:rsidDel="00000000" w:rsidP="00000000" w:rsidRDefault="00000000" w:rsidRPr="00000000" w14:paraId="0000000B">
            <w:pPr>
              <w:widowControl w:val="0"/>
              <w:spacing w:line="240" w:lineRule="auto"/>
              <w:rPr>
                <w:sz w:val="28"/>
                <w:szCs w:val="28"/>
              </w:rPr>
            </w:pPr>
            <w:r w:rsidDel="00000000" w:rsidR="00000000" w:rsidRPr="00000000">
              <w:rPr>
                <w:rtl w:val="0"/>
              </w:rPr>
            </w:r>
          </w:p>
          <w:p w:rsidR="00000000" w:rsidDel="00000000" w:rsidP="00000000" w:rsidRDefault="00000000" w:rsidRPr="00000000" w14:paraId="0000000C">
            <w:pPr>
              <w:widowControl w:val="0"/>
              <w:spacing w:line="240" w:lineRule="auto"/>
              <w:rPr>
                <w:sz w:val="28"/>
                <w:szCs w:val="28"/>
              </w:rPr>
            </w:pPr>
            <w:r w:rsidDel="00000000" w:rsidR="00000000" w:rsidRPr="00000000">
              <w:rPr>
                <w:rtl w:val="0"/>
              </w:rPr>
            </w:r>
          </w:p>
          <w:p w:rsidR="00000000" w:rsidDel="00000000" w:rsidP="00000000" w:rsidRDefault="00000000" w:rsidRPr="00000000" w14:paraId="0000000D">
            <w:pPr>
              <w:widowControl w:val="0"/>
              <w:spacing w:line="240" w:lineRule="auto"/>
              <w:rPr>
                <w:sz w:val="28"/>
                <w:szCs w:val="28"/>
              </w:rPr>
            </w:pPr>
            <w:r w:rsidDel="00000000" w:rsidR="00000000" w:rsidRPr="00000000">
              <w:rPr>
                <w:rtl w:val="0"/>
              </w:rPr>
            </w:r>
          </w:p>
          <w:p w:rsidR="00000000" w:rsidDel="00000000" w:rsidP="00000000" w:rsidRDefault="00000000" w:rsidRPr="00000000" w14:paraId="0000000E">
            <w:pPr>
              <w:widowControl w:val="0"/>
              <w:spacing w:line="240" w:lineRule="auto"/>
              <w:rPr>
                <w:sz w:val="28"/>
                <w:szCs w:val="28"/>
              </w:rPr>
            </w:pPr>
            <w:r w:rsidDel="00000000" w:rsidR="00000000" w:rsidRPr="00000000">
              <w:rPr>
                <w:rtl w:val="0"/>
              </w:rPr>
            </w:r>
          </w:p>
          <w:p w:rsidR="00000000" w:rsidDel="00000000" w:rsidP="00000000" w:rsidRDefault="00000000" w:rsidRPr="00000000" w14:paraId="0000000F">
            <w:pPr>
              <w:widowControl w:val="0"/>
              <w:spacing w:line="240" w:lineRule="auto"/>
              <w:rPr>
                <w:sz w:val="28"/>
                <w:szCs w:val="28"/>
              </w:rPr>
            </w:pPr>
            <w:r w:rsidDel="00000000" w:rsidR="00000000" w:rsidRPr="00000000">
              <w:rPr>
                <w:rtl w:val="0"/>
              </w:rPr>
            </w:r>
          </w:p>
          <w:p w:rsidR="00000000" w:rsidDel="00000000" w:rsidP="00000000" w:rsidRDefault="00000000" w:rsidRPr="00000000" w14:paraId="00000010">
            <w:pPr>
              <w:widowControl w:val="0"/>
              <w:spacing w:line="240" w:lineRule="auto"/>
              <w:ind w:left="-1350" w:firstLine="0"/>
              <w:rPr>
                <w:sz w:val="28"/>
                <w:szCs w:val="28"/>
              </w:rPr>
            </w:pPr>
            <w:r w:rsidDel="00000000" w:rsidR="00000000" w:rsidRPr="00000000">
              <w:rPr>
                <w:rtl w:val="0"/>
              </w:rPr>
            </w:r>
          </w:p>
        </w:tc>
        <w:tc>
          <w:tcPr>
            <w:shd w:fill="ffffff" w:val="clear"/>
            <w:tcMar>
              <w:top w:w="140.0" w:type="dxa"/>
              <w:left w:w="140.0" w:type="dxa"/>
              <w:bottom w:w="140.0" w:type="dxa"/>
              <w:right w:w="140.0" w:type="dxa"/>
            </w:tcMar>
            <w:vAlign w:val="top"/>
          </w:tcPr>
          <w:p w:rsidR="00000000" w:rsidDel="00000000" w:rsidP="00000000" w:rsidRDefault="00000000" w:rsidRPr="00000000" w14:paraId="00000011">
            <w:pPr>
              <w:widowControl w:val="0"/>
              <w:spacing w:line="240" w:lineRule="auto"/>
              <w:rPr>
                <w:sz w:val="28"/>
                <w:szCs w:val="28"/>
              </w:rPr>
            </w:pPr>
            <w:r w:rsidDel="00000000" w:rsidR="00000000" w:rsidRPr="00000000">
              <w:rPr>
                <w:rtl w:val="0"/>
              </w:rPr>
            </w:r>
          </w:p>
        </w:tc>
        <w:tc>
          <w:tcPr>
            <w:shd w:fill="ffffff" w:val="clear"/>
            <w:tcMar>
              <w:top w:w="140.0" w:type="dxa"/>
              <w:left w:w="140.0" w:type="dxa"/>
              <w:bottom w:w="140.0" w:type="dxa"/>
              <w:right w:w="140.0" w:type="dxa"/>
            </w:tcMar>
            <w:vAlign w:val="top"/>
          </w:tcPr>
          <w:p w:rsidR="00000000" w:rsidDel="00000000" w:rsidP="00000000" w:rsidRDefault="00000000" w:rsidRPr="00000000" w14:paraId="00000012">
            <w:pPr>
              <w:widowControl w:val="0"/>
              <w:rPr/>
            </w:pPr>
            <w:r w:rsidDel="00000000" w:rsidR="00000000" w:rsidRPr="00000000">
              <w:rPr>
                <w:rtl w:val="0"/>
              </w:rPr>
            </w:r>
          </w:p>
        </w:tc>
        <w:tc>
          <w:tcPr>
            <w:shd w:fill="ffffff" w:val="clear"/>
            <w:tcMar>
              <w:top w:w="140.0" w:type="dxa"/>
              <w:left w:w="140.0" w:type="dxa"/>
              <w:bottom w:w="140.0" w:type="dxa"/>
              <w:right w:w="140.0" w:type="dxa"/>
            </w:tcMar>
            <w:vAlign w:val="top"/>
          </w:tcPr>
          <w:p w:rsidR="00000000" w:rsidDel="00000000" w:rsidP="00000000" w:rsidRDefault="00000000" w:rsidRPr="00000000" w14:paraId="00000013">
            <w:pPr>
              <w:widowControl w:val="0"/>
              <w:spacing w:line="240" w:lineRule="auto"/>
              <w:rPr>
                <w:sz w:val="28"/>
                <w:szCs w:val="28"/>
              </w:rPr>
            </w:pPr>
            <w:r w:rsidDel="00000000" w:rsidR="00000000" w:rsidRPr="00000000">
              <w:rPr>
                <w:rtl w:val="0"/>
              </w:rPr>
            </w:r>
          </w:p>
        </w:tc>
        <w:tc>
          <w:tcPr>
            <w:shd w:fill="ffffff" w:val="clear"/>
            <w:tcMar>
              <w:top w:w="140.0" w:type="dxa"/>
              <w:left w:w="140.0" w:type="dxa"/>
              <w:bottom w:w="140.0" w:type="dxa"/>
              <w:right w:w="140.0" w:type="dxa"/>
            </w:tcMar>
            <w:vAlign w:val="top"/>
          </w:tcPr>
          <w:p w:rsidR="00000000" w:rsidDel="00000000" w:rsidP="00000000" w:rsidRDefault="00000000" w:rsidRPr="00000000" w14:paraId="00000014">
            <w:pPr>
              <w:widowControl w:val="0"/>
              <w:spacing w:line="240" w:lineRule="auto"/>
              <w:rPr>
                <w:sz w:val="28"/>
                <w:szCs w:val="28"/>
              </w:rPr>
            </w:pPr>
            <w:r w:rsidDel="00000000" w:rsidR="00000000" w:rsidRPr="00000000">
              <w:rPr>
                <w:rtl w:val="0"/>
              </w:rPr>
            </w:r>
          </w:p>
        </w:tc>
      </w:tr>
    </w:tbl>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Application-Teaching Statement/Philosophy</w:t>
      </w:r>
    </w:p>
    <w:p w:rsidR="00000000" w:rsidDel="00000000" w:rsidP="00000000" w:rsidRDefault="00000000" w:rsidRPr="00000000" w14:paraId="00000018">
      <w:pPr>
        <w:rPr/>
      </w:pPr>
      <w:r w:rsidDel="00000000" w:rsidR="00000000" w:rsidRPr="00000000">
        <w:rPr>
          <w:rtl w:val="0"/>
        </w:rPr>
        <w:t xml:space="preserve">Teaching statements/philosophies provide instructors the opportunity to describe their beliefs and philosophies about teaching and how they are reflected in one's pedagogy. Use the space below to brainstorm your philosophy regarding assessment/grading and how this is reflected in your pedagogy. These ideas could be incorporated into your current teaching statement/philosophy. </w:t>
      </w:r>
    </w:p>
    <w:p w:rsidR="00000000" w:rsidDel="00000000" w:rsidP="00000000" w:rsidRDefault="00000000" w:rsidRPr="00000000" w14:paraId="00000019">
      <w:pPr>
        <w:rPr/>
      </w:pPr>
      <w:r w:rsidDel="00000000" w:rsidR="00000000" w:rsidRPr="00000000">
        <w:rPr>
          <w:rtl w:val="0"/>
        </w:rPr>
      </w:r>
    </w:p>
    <w:sectPr>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